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425A79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425A79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425A79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425A7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425A7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425A79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425A79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35277D">
        <w:rPr>
          <w:bCs/>
          <w:szCs w:val="28"/>
        </w:rPr>
        <w:t>АКВАНТІ ПЛЮС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35277D">
        <w:rPr>
          <w:szCs w:val="28"/>
        </w:rPr>
        <w:t>Портова</w:t>
      </w:r>
      <w:r w:rsidR="00616A51">
        <w:rPr>
          <w:szCs w:val="28"/>
        </w:rPr>
        <w:t xml:space="preserve">, </w:t>
      </w:r>
      <w:r w:rsidR="0035277D">
        <w:rPr>
          <w:szCs w:val="28"/>
        </w:rPr>
        <w:t>16</w:t>
      </w:r>
      <w:r w:rsidR="005A79D2">
        <w:rPr>
          <w:szCs w:val="28"/>
        </w:rPr>
        <w:t>-а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35277D" w:rsidRPr="0035277D">
        <w:rPr>
          <w:szCs w:val="28"/>
        </w:rPr>
        <w:t>АКВАНТІ ПЛЮС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5277D" w:rsidRPr="0035277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Портова, 16-а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 об’єктів зеленого господарства;</w:t>
      </w:r>
      <w:r w:rsidR="00F41A93">
        <w:rPr>
          <w:bCs/>
          <w:szCs w:val="28"/>
        </w:rPr>
        <w:t xml:space="preserve"> </w:t>
      </w:r>
      <w:r w:rsidR="00CC37AB" w:rsidRPr="00CC37AB">
        <w:rPr>
          <w:bCs/>
          <w:szCs w:val="28"/>
        </w:rPr>
        <w:t>прокладення, перекладення або заміни водостічних, водопровідних тр</w:t>
      </w:r>
      <w:r w:rsidR="00CC37AB">
        <w:rPr>
          <w:bCs/>
          <w:szCs w:val="28"/>
        </w:rPr>
        <w:t>уб та водоприймальних колодязів</w:t>
      </w:r>
      <w:r w:rsidR="0035277D">
        <w:rPr>
          <w:bCs/>
          <w:szCs w:val="28"/>
        </w:rPr>
        <w:t xml:space="preserve">; </w:t>
      </w:r>
      <w:r w:rsidR="0035277D" w:rsidRPr="0035277D">
        <w:rPr>
          <w:bCs/>
          <w:szCs w:val="28"/>
        </w:rPr>
        <w:t>установлення нових, відновлення, ремонт та заміни існуючих малих архітектурних форм;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ремонту та/або улаштування майданчиків для паркування транспортних засобів, спортивних, дитячих та інших майданчиків;</w:t>
      </w:r>
      <w:r w:rsidR="0035277D">
        <w:rPr>
          <w:bCs/>
          <w:szCs w:val="28"/>
        </w:rPr>
        <w:t xml:space="preserve"> </w:t>
      </w:r>
      <w:r w:rsidR="0035277D" w:rsidRPr="0035277D">
        <w:rPr>
          <w:bCs/>
          <w:szCs w:val="28"/>
        </w:rPr>
        <w:t>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611B85" w:rsidRPr="00611B85">
        <w:rPr>
          <w:bCs/>
          <w:szCs w:val="28"/>
        </w:rPr>
        <w:t>АКВАНТІ ПЛЮС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11B85">
        <w:rPr>
          <w:bCs/>
          <w:szCs w:val="28"/>
        </w:rPr>
        <w:t xml:space="preserve">вул. </w:t>
      </w:r>
      <w:r w:rsidR="00611B85" w:rsidRPr="00611B85">
        <w:rPr>
          <w:bCs/>
          <w:szCs w:val="28"/>
        </w:rPr>
        <w:t>Портова, 16-а</w:t>
      </w:r>
      <w:r w:rsidR="00B20495" w:rsidRPr="00B20495">
        <w:rPr>
          <w:bCs/>
          <w:szCs w:val="28"/>
        </w:rPr>
        <w:t xml:space="preserve">, з метою </w:t>
      </w:r>
      <w:r w:rsidR="00611B85" w:rsidRPr="00611B85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</w:t>
      </w:r>
      <w:r w:rsidR="00611B85" w:rsidRPr="00611B85">
        <w:rPr>
          <w:bCs/>
          <w:szCs w:val="28"/>
        </w:rPr>
        <w:lastRenderedPageBreak/>
        <w:t>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611B85" w:rsidRPr="00611B85">
        <w:rPr>
          <w:bCs/>
          <w:szCs w:val="28"/>
        </w:rPr>
        <w:t>АКВАНТІ ПЛЮС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5A79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8CE6-9EE0-4E4E-A227-AD168E35A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2021-02-16T11:39:00Z</dcterms:modified>
</cp:coreProperties>
</file>